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1A" w:rsidRDefault="00AE4A8B">
      <w:pPr>
        <w:framePr w:w="1809" w:h="1803" w:wrap="around" w:vAnchor="page" w:hAnchor="page" w:x="9498" w:y="2887" w:anchorLock="1"/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default w:val="DEKRA e.V."/>
            </w:textInput>
          </w:ffData>
        </w:fldChar>
      </w:r>
      <w:r w:rsidR="0022181A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1C062A">
        <w:rPr>
          <w:rFonts w:cs="Arial"/>
          <w:noProof/>
          <w:sz w:val="16"/>
          <w:szCs w:val="16"/>
        </w:rPr>
        <w:t>DEKRA e.V.</w:t>
      </w:r>
      <w:r>
        <w:rPr>
          <w:rFonts w:cs="Arial"/>
          <w:bCs/>
          <w:sz w:val="16"/>
          <w:szCs w:val="16"/>
        </w:rPr>
        <w:fldChar w:fldCharType="end"/>
      </w:r>
    </w:p>
    <w:p w:rsidR="0022181A" w:rsidRDefault="00AE4A8B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2"/>
            <w:enabled/>
            <w:calcOnExit w:val="0"/>
            <w:textInput>
              <w:default w:val="Konzernkommunikation"/>
            </w:textInput>
          </w:ffData>
        </w:fldChar>
      </w:r>
      <w:bookmarkStart w:id="0" w:name="Text22"/>
      <w:r w:rsidR="00F93A9D"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F93A9D">
        <w:rPr>
          <w:noProof/>
          <w:sz w:val="16"/>
        </w:rPr>
        <w:t>Konzernkommunikation</w:t>
      </w:r>
      <w:r>
        <w:rPr>
          <w:sz w:val="16"/>
        </w:rPr>
        <w:fldChar w:fldCharType="end"/>
      </w:r>
      <w:bookmarkEnd w:id="0"/>
    </w:p>
    <w:p w:rsidR="0022181A" w:rsidRDefault="00AE4A8B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3"/>
            <w:enabled/>
            <w:calcOnExit w:val="0"/>
            <w:textInput>
              <w:default w:val="Handwerkstraße 15"/>
            </w:textInput>
          </w:ffData>
        </w:fldChar>
      </w:r>
      <w:bookmarkStart w:id="1" w:name="Text23"/>
      <w:r w:rsidR="0022181A"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1C062A">
        <w:rPr>
          <w:noProof/>
          <w:sz w:val="16"/>
        </w:rPr>
        <w:t>Handwerkstraße 15</w:t>
      </w:r>
      <w:r>
        <w:rPr>
          <w:sz w:val="16"/>
        </w:rPr>
        <w:fldChar w:fldCharType="end"/>
      </w:r>
      <w:bookmarkEnd w:id="1"/>
    </w:p>
    <w:p w:rsidR="0022181A" w:rsidRDefault="00AE4A8B">
      <w:pPr>
        <w:framePr w:w="1809" w:h="1803" w:wrap="around" w:vAnchor="page" w:hAnchor="page" w:x="9498" w:y="2887" w:anchorLock="1"/>
        <w:spacing w:line="260" w:lineRule="exact"/>
        <w:rPr>
          <w:sz w:val="16"/>
        </w:rPr>
      </w:pPr>
      <w:r>
        <w:rPr>
          <w:sz w:val="16"/>
        </w:rPr>
        <w:fldChar w:fldCharType="begin">
          <w:ffData>
            <w:name w:val="Text24"/>
            <w:enabled/>
            <w:calcOnExit w:val="0"/>
            <w:textInput>
              <w:default w:val="D-70565 Stuttgart"/>
            </w:textInput>
          </w:ffData>
        </w:fldChar>
      </w:r>
      <w:bookmarkStart w:id="2" w:name="Text24"/>
      <w:r w:rsidR="0022181A"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1C062A">
        <w:rPr>
          <w:noProof/>
          <w:sz w:val="16"/>
        </w:rPr>
        <w:t>D-70565 Stuttgart</w:t>
      </w:r>
      <w:r>
        <w:rPr>
          <w:sz w:val="16"/>
        </w:rPr>
        <w:fldChar w:fldCharType="end"/>
      </w:r>
      <w:bookmarkEnd w:id="2"/>
    </w:p>
    <w:p w:rsidR="0022181A" w:rsidRDefault="0022181A">
      <w:pPr>
        <w:framePr w:w="1809" w:h="1803" w:wrap="around" w:vAnchor="page" w:hAnchor="page" w:x="9498" w:y="2887" w:anchorLock="1"/>
        <w:spacing w:line="200" w:lineRule="exact"/>
        <w:rPr>
          <w:sz w:val="16"/>
        </w:rPr>
      </w:pP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t>www.dekra.de/presse</w:t>
      </w: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</w:p>
    <w:p w:rsidR="0022181A" w:rsidRDefault="00AE4A8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7"/>
            <w:enabled/>
            <w:calcOnExit w:val="0"/>
            <w:textInput>
              <w:default w:val="Stuttgart"/>
            </w:textInput>
          </w:ffData>
        </w:fldChar>
      </w:r>
      <w:bookmarkStart w:id="3" w:name="Text17"/>
      <w:r w:rsidR="0022181A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1C062A">
        <w:rPr>
          <w:noProof/>
          <w:sz w:val="16"/>
          <w:szCs w:val="16"/>
        </w:rPr>
        <w:t>Stuttgart</w:t>
      </w:r>
      <w:r>
        <w:rPr>
          <w:sz w:val="16"/>
          <w:szCs w:val="16"/>
        </w:rPr>
        <w:fldChar w:fldCharType="end"/>
      </w:r>
      <w:bookmarkEnd w:id="3"/>
      <w:r w:rsidR="0022181A">
        <w:rPr>
          <w:sz w:val="16"/>
          <w:szCs w:val="16"/>
        </w:rPr>
        <w:t xml:space="preserve">, </w:t>
      </w:r>
      <w:r w:rsidR="003C756C">
        <w:rPr>
          <w:sz w:val="16"/>
          <w:szCs w:val="16"/>
        </w:rPr>
        <w:t>23</w:t>
      </w:r>
      <w:r w:rsidR="002B7F53">
        <w:rPr>
          <w:sz w:val="16"/>
          <w:szCs w:val="16"/>
        </w:rPr>
        <w:t>.0</w:t>
      </w:r>
      <w:r w:rsidR="00D451B1">
        <w:rPr>
          <w:sz w:val="16"/>
          <w:szCs w:val="16"/>
        </w:rPr>
        <w:t>5</w:t>
      </w:r>
      <w:r w:rsidR="00780BAB">
        <w:rPr>
          <w:sz w:val="16"/>
          <w:szCs w:val="16"/>
        </w:rPr>
        <w:t>.201</w:t>
      </w:r>
      <w:r w:rsidR="002774D2">
        <w:rPr>
          <w:sz w:val="16"/>
          <w:szCs w:val="16"/>
        </w:rPr>
        <w:t>7</w:t>
      </w:r>
      <w:r w:rsidR="0022181A">
        <w:rPr>
          <w:sz w:val="16"/>
          <w:szCs w:val="16"/>
        </w:rPr>
        <w:t xml:space="preserve"> / </w:t>
      </w:r>
      <w:bookmarkStart w:id="4" w:name="Text14"/>
      <w:r>
        <w:rPr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default w:val="Nr. "/>
            </w:textInput>
          </w:ffData>
        </w:fldChar>
      </w:r>
      <w:r w:rsidR="0022181A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1C062A">
        <w:rPr>
          <w:noProof/>
          <w:sz w:val="16"/>
          <w:szCs w:val="16"/>
        </w:rPr>
        <w:t xml:space="preserve">Nr. </w:t>
      </w:r>
      <w:r>
        <w:rPr>
          <w:sz w:val="16"/>
          <w:szCs w:val="16"/>
        </w:rPr>
        <w:fldChar w:fldCharType="end"/>
      </w:r>
      <w:bookmarkEnd w:id="4"/>
      <w:r w:rsidR="003C756C">
        <w:rPr>
          <w:sz w:val="16"/>
          <w:szCs w:val="16"/>
        </w:rPr>
        <w:t>0</w:t>
      </w:r>
      <w:r w:rsidR="005A5986">
        <w:rPr>
          <w:sz w:val="16"/>
          <w:szCs w:val="16"/>
        </w:rPr>
        <w:t>51</w:t>
      </w:r>
      <w:bookmarkStart w:id="5" w:name="_GoBack"/>
      <w:bookmarkEnd w:id="5"/>
    </w:p>
    <w:p w:rsidR="0022181A" w:rsidRDefault="00780BA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 Vögele-Ebering</w:t>
      </w:r>
    </w:p>
    <w:p w:rsidR="0022181A" w:rsidRDefault="00AE4A8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default w:val="+49.711.7861-2122"/>
            </w:textInput>
          </w:ffData>
        </w:fldChar>
      </w:r>
      <w:bookmarkStart w:id="6" w:name="Text6"/>
      <w:r w:rsidR="00F93A9D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F93A9D">
        <w:rPr>
          <w:noProof/>
          <w:sz w:val="16"/>
          <w:szCs w:val="16"/>
        </w:rPr>
        <w:t>+49.711.7861-2122</w:t>
      </w:r>
      <w:r>
        <w:rPr>
          <w:sz w:val="16"/>
          <w:szCs w:val="16"/>
        </w:rPr>
        <w:fldChar w:fldCharType="end"/>
      </w:r>
      <w:bookmarkEnd w:id="6"/>
    </w:p>
    <w:p w:rsidR="0022181A" w:rsidRDefault="00AE4A8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+49.711.7861-742122"/>
            </w:textInput>
          </w:ffData>
        </w:fldChar>
      </w:r>
      <w:bookmarkStart w:id="7" w:name="Text7"/>
      <w:r w:rsidR="00F93A9D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F93A9D">
        <w:rPr>
          <w:noProof/>
          <w:sz w:val="16"/>
          <w:szCs w:val="16"/>
        </w:rPr>
        <w:t>+49.711.7861-742122</w:t>
      </w:r>
      <w:r>
        <w:rPr>
          <w:sz w:val="16"/>
          <w:szCs w:val="16"/>
        </w:rPr>
        <w:fldChar w:fldCharType="end"/>
      </w:r>
      <w:bookmarkEnd w:id="7"/>
    </w:p>
    <w:p w:rsidR="0022181A" w:rsidRDefault="00780BA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tilman.voegele-ebering</w:t>
      </w:r>
      <w:r w:rsidR="0022181A">
        <w:rPr>
          <w:sz w:val="16"/>
          <w:szCs w:val="16"/>
        </w:rPr>
        <w:t>@dekra.com</w:t>
      </w: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</w:p>
    <w:p w:rsidR="0022181A" w:rsidRDefault="00AE4A8B">
      <w:pPr>
        <w:framePr w:w="7496" w:h="1803" w:hRule="exact" w:hSpace="142" w:wrap="around" w:hAnchor="page" w:x="1532" w:y="13127" w:anchorLock="1"/>
        <w:spacing w:line="240" w:lineRule="exact"/>
        <w:ind w:right="-1"/>
      </w:pPr>
      <w:r>
        <w:rPr>
          <w:sz w:val="16"/>
          <w:szCs w:val="16"/>
        </w:rPr>
        <w:fldChar w:fldCharType="begin"/>
      </w:r>
      <w:r w:rsidR="0022181A">
        <w:rPr>
          <w:sz w:val="16"/>
          <w:szCs w:val="16"/>
        </w:rPr>
        <w:instrText xml:space="preserve">PAGE  \* MERGEFORMAT </w:instrText>
      </w:r>
      <w:r>
        <w:rPr>
          <w:sz w:val="16"/>
          <w:szCs w:val="16"/>
        </w:rPr>
        <w:fldChar w:fldCharType="separate"/>
      </w:r>
      <w:r w:rsidR="001B03CC">
        <w:rPr>
          <w:noProof/>
          <w:sz w:val="16"/>
          <w:szCs w:val="16"/>
        </w:rPr>
        <w:t>1</w:t>
      </w:r>
      <w:r>
        <w:rPr>
          <w:sz w:val="16"/>
          <w:szCs w:val="16"/>
        </w:rPr>
        <w:fldChar w:fldCharType="end"/>
      </w:r>
      <w:r w:rsidR="0022181A">
        <w:rPr>
          <w:sz w:val="16"/>
          <w:szCs w:val="16"/>
        </w:rPr>
        <w:t xml:space="preserve"> / 1</w:t>
      </w:r>
    </w:p>
    <w:p w:rsidR="0022181A" w:rsidRDefault="00221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Presseinformation</w:t>
      </w:r>
      <w:r w:rsidR="00FA3B60">
        <w:rPr>
          <w:b/>
          <w:sz w:val="28"/>
          <w:szCs w:val="28"/>
        </w:rPr>
        <w:tab/>
      </w:r>
      <w:r w:rsidR="00FA3B60">
        <w:rPr>
          <w:b/>
          <w:sz w:val="28"/>
          <w:szCs w:val="28"/>
        </w:rPr>
        <w:tab/>
      </w:r>
      <w:r w:rsidR="00FA3B60" w:rsidRPr="006E551B">
        <w:rPr>
          <w:b/>
          <w:color w:val="FF0000"/>
          <w:sz w:val="28"/>
          <w:szCs w:val="28"/>
        </w:rPr>
        <w:t xml:space="preserve"> </w:t>
      </w: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</w:pP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  <w:sectPr w:rsidR="0022181A">
          <w:headerReference w:type="default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1907" w:h="16840" w:code="9"/>
          <w:pgMar w:top="1639" w:right="2693" w:bottom="1418" w:left="1474" w:header="1276" w:footer="1814" w:gutter="0"/>
          <w:cols w:space="720"/>
          <w:titlePg/>
        </w:sectPr>
      </w:pPr>
    </w:p>
    <w:p w:rsidR="0022181A" w:rsidRDefault="0022181A">
      <w:pPr>
        <w:pStyle w:val="berschrift2"/>
        <w:widowControl w:val="0"/>
        <w:spacing w:before="0" w:after="160" w:line="320" w:lineRule="exact"/>
        <w:jc w:val="both"/>
        <w:rPr>
          <w:rFonts w:cs="Arial"/>
          <w:b w:val="0"/>
          <w:szCs w:val="20"/>
        </w:rPr>
      </w:pPr>
    </w:p>
    <w:p w:rsidR="0022181A" w:rsidRDefault="009A3CC4" w:rsidP="00AD277E">
      <w:pPr>
        <w:pStyle w:val="berschrift2"/>
        <w:widowControl w:val="0"/>
        <w:spacing w:before="0" w:after="120" w:line="320" w:lineRule="exact"/>
        <w:ind w:right="369"/>
        <w:rPr>
          <w:rFonts w:eastAsia="Arial Unicode MS"/>
          <w:b w:val="0"/>
          <w:bCs w:val="0"/>
          <w:u w:val="single"/>
        </w:rPr>
      </w:pPr>
      <w:r>
        <w:rPr>
          <w:b w:val="0"/>
          <w:bCs w:val="0"/>
          <w:u w:val="single"/>
        </w:rPr>
        <w:t>Im Mai 2018 tritt EU-Datenschutzgrundverordnung in Kraft</w:t>
      </w:r>
    </w:p>
    <w:p w:rsidR="00374FBF" w:rsidRPr="00374FBF" w:rsidRDefault="009A3CC4" w:rsidP="00374FBF">
      <w:pPr>
        <w:pStyle w:val="berschrift1"/>
        <w:ind w:right="369"/>
        <w:rPr>
          <w:rFonts w:cs="Arial"/>
        </w:rPr>
      </w:pPr>
      <w:r>
        <w:rPr>
          <w:rFonts w:cs="Arial"/>
        </w:rPr>
        <w:t>Höhere Anforderungen an Datenschutz</w:t>
      </w:r>
    </w:p>
    <w:p w:rsidR="0022181A" w:rsidRPr="002C1A27" w:rsidRDefault="009A3CC4" w:rsidP="002C1A27">
      <w:pPr>
        <w:numPr>
          <w:ilvl w:val="0"/>
          <w:numId w:val="11"/>
        </w:numPr>
        <w:spacing w:line="420" w:lineRule="exact"/>
        <w:ind w:right="369"/>
        <w:rPr>
          <w:rFonts w:cs="Arial"/>
        </w:rPr>
      </w:pPr>
      <w:r>
        <w:rPr>
          <w:rFonts w:cs="Arial"/>
        </w:rPr>
        <w:t xml:space="preserve">Jetzt schon auf höheres </w:t>
      </w:r>
      <w:r w:rsidR="008E5F15">
        <w:rPr>
          <w:rFonts w:cs="Arial"/>
        </w:rPr>
        <w:t>S</w:t>
      </w:r>
      <w:r>
        <w:rPr>
          <w:rFonts w:cs="Arial"/>
        </w:rPr>
        <w:t>chutzniveau vorbereiten</w:t>
      </w:r>
    </w:p>
    <w:p w:rsidR="0010619C" w:rsidRDefault="00C55AB3" w:rsidP="0010619C">
      <w:pPr>
        <w:numPr>
          <w:ilvl w:val="0"/>
          <w:numId w:val="11"/>
        </w:numPr>
        <w:spacing w:line="340" w:lineRule="exact"/>
        <w:ind w:left="357" w:right="369" w:hanging="357"/>
        <w:rPr>
          <w:rFonts w:cs="Arial"/>
        </w:rPr>
      </w:pPr>
      <w:r>
        <w:rPr>
          <w:rFonts w:cs="Arial"/>
        </w:rPr>
        <w:t>Sicherheit der Kundendaten besonders im Fokus</w:t>
      </w:r>
    </w:p>
    <w:p w:rsidR="00E46C9C" w:rsidRDefault="00C55AB3" w:rsidP="00AE361E">
      <w:pPr>
        <w:numPr>
          <w:ilvl w:val="0"/>
          <w:numId w:val="11"/>
        </w:numPr>
        <w:spacing w:line="340" w:lineRule="exact"/>
        <w:ind w:left="357" w:right="369" w:hanging="357"/>
        <w:rPr>
          <w:rFonts w:cs="Arial"/>
        </w:rPr>
      </w:pPr>
      <w:r>
        <w:rPr>
          <w:rFonts w:cs="Arial"/>
        </w:rPr>
        <w:t xml:space="preserve">Auftragnehmer müssen Konformität mit Vorschriften nachweisen </w:t>
      </w:r>
    </w:p>
    <w:p w:rsidR="001E28A5" w:rsidRDefault="001E28A5" w:rsidP="001E28A5">
      <w:pPr>
        <w:spacing w:line="300" w:lineRule="exact"/>
        <w:ind w:right="369"/>
        <w:jc w:val="both"/>
        <w:rPr>
          <w:rFonts w:cs="Arial"/>
        </w:rPr>
      </w:pPr>
    </w:p>
    <w:p w:rsidR="009A3CC4" w:rsidRPr="00762261" w:rsidRDefault="009A3CC4" w:rsidP="009A3CC4">
      <w:pPr>
        <w:spacing w:line="280" w:lineRule="exact"/>
        <w:jc w:val="both"/>
        <w:rPr>
          <w:b/>
          <w:szCs w:val="22"/>
        </w:rPr>
      </w:pPr>
      <w:r>
        <w:rPr>
          <w:b/>
          <w:szCs w:val="22"/>
        </w:rPr>
        <w:t>In einem Jahr</w:t>
      </w:r>
      <w:r w:rsidR="008E5F15">
        <w:rPr>
          <w:b/>
          <w:szCs w:val="22"/>
        </w:rPr>
        <w:t xml:space="preserve"> (S</w:t>
      </w:r>
      <w:r>
        <w:rPr>
          <w:b/>
          <w:szCs w:val="22"/>
        </w:rPr>
        <w:t>tichtag 2</w:t>
      </w:r>
      <w:r w:rsidRPr="00762261">
        <w:rPr>
          <w:b/>
          <w:szCs w:val="22"/>
        </w:rPr>
        <w:t>5.</w:t>
      </w:r>
      <w:r>
        <w:rPr>
          <w:b/>
          <w:szCs w:val="22"/>
        </w:rPr>
        <w:t xml:space="preserve"> Mai </w:t>
      </w:r>
      <w:r w:rsidRPr="00762261">
        <w:rPr>
          <w:b/>
          <w:szCs w:val="22"/>
        </w:rPr>
        <w:t>2018</w:t>
      </w:r>
      <w:r w:rsidR="008E5F15">
        <w:rPr>
          <w:b/>
          <w:szCs w:val="22"/>
        </w:rPr>
        <w:t>)</w:t>
      </w:r>
      <w:r w:rsidRPr="00762261">
        <w:rPr>
          <w:b/>
          <w:szCs w:val="22"/>
        </w:rPr>
        <w:t xml:space="preserve"> tritt die EU</w:t>
      </w:r>
      <w:r w:rsidR="00311862">
        <w:rPr>
          <w:b/>
          <w:szCs w:val="22"/>
        </w:rPr>
        <w:t>-</w:t>
      </w:r>
      <w:r w:rsidRPr="00762261">
        <w:rPr>
          <w:b/>
          <w:szCs w:val="22"/>
        </w:rPr>
        <w:t>Datenschutz</w:t>
      </w:r>
      <w:r w:rsidR="008E5F15">
        <w:rPr>
          <w:b/>
          <w:szCs w:val="22"/>
        </w:rPr>
        <w:softHyphen/>
      </w:r>
      <w:r w:rsidRPr="00762261">
        <w:rPr>
          <w:b/>
          <w:szCs w:val="22"/>
        </w:rPr>
        <w:t>grundverordnung in Kraft</w:t>
      </w:r>
      <w:r>
        <w:rPr>
          <w:b/>
          <w:szCs w:val="22"/>
        </w:rPr>
        <w:t xml:space="preserve">. Sie </w:t>
      </w:r>
      <w:r w:rsidRPr="00762261">
        <w:rPr>
          <w:b/>
          <w:szCs w:val="22"/>
        </w:rPr>
        <w:t>löst das Bundesdatenschutzgesetz (BDSG) ab. Dies führt zu einheitlichen Datenschutzregeln in Europa</w:t>
      </w:r>
      <w:r w:rsidR="00311862">
        <w:rPr>
          <w:b/>
          <w:szCs w:val="22"/>
        </w:rPr>
        <w:t xml:space="preserve"> </w:t>
      </w:r>
      <w:r w:rsidR="007B0BDC">
        <w:rPr>
          <w:b/>
          <w:szCs w:val="22"/>
        </w:rPr>
        <w:t xml:space="preserve">und </w:t>
      </w:r>
      <w:r w:rsidR="00311862">
        <w:rPr>
          <w:b/>
          <w:szCs w:val="22"/>
        </w:rPr>
        <w:t xml:space="preserve">zu neuen </w:t>
      </w:r>
      <w:r w:rsidRPr="00762261">
        <w:rPr>
          <w:b/>
          <w:szCs w:val="22"/>
        </w:rPr>
        <w:t>Anforderungen, insbesondere für Unternehmen</w:t>
      </w:r>
      <w:r w:rsidR="009E28D3">
        <w:rPr>
          <w:b/>
          <w:szCs w:val="22"/>
        </w:rPr>
        <w:t>,</w:t>
      </w:r>
      <w:r w:rsidRPr="00762261">
        <w:rPr>
          <w:b/>
          <w:szCs w:val="22"/>
        </w:rPr>
        <w:t xml:space="preserve"> die Kundendaten elektronisch verarbeiten. </w:t>
      </w:r>
      <w:r>
        <w:rPr>
          <w:b/>
          <w:szCs w:val="22"/>
        </w:rPr>
        <w:t xml:space="preserve">DEKRA rät </w:t>
      </w:r>
      <w:r w:rsidRPr="00762261">
        <w:rPr>
          <w:b/>
          <w:szCs w:val="22"/>
        </w:rPr>
        <w:t>Unternehmen</w:t>
      </w:r>
      <w:r>
        <w:rPr>
          <w:b/>
          <w:szCs w:val="22"/>
        </w:rPr>
        <w:t xml:space="preserve">, jetzt schon damit zu beginnen, </w:t>
      </w:r>
      <w:r w:rsidR="00311862">
        <w:rPr>
          <w:b/>
          <w:szCs w:val="22"/>
        </w:rPr>
        <w:t>das</w:t>
      </w:r>
      <w:r>
        <w:rPr>
          <w:b/>
          <w:szCs w:val="22"/>
        </w:rPr>
        <w:t xml:space="preserve"> </w:t>
      </w:r>
      <w:r w:rsidRPr="00762261">
        <w:rPr>
          <w:b/>
          <w:szCs w:val="22"/>
        </w:rPr>
        <w:t xml:space="preserve">Datenschutzniveau </w:t>
      </w:r>
      <w:r>
        <w:rPr>
          <w:b/>
          <w:szCs w:val="22"/>
        </w:rPr>
        <w:t xml:space="preserve">den neuen </w:t>
      </w:r>
      <w:r w:rsidRPr="00762261">
        <w:rPr>
          <w:b/>
          <w:szCs w:val="22"/>
        </w:rPr>
        <w:t>EU-Anforderungen</w:t>
      </w:r>
      <w:r>
        <w:rPr>
          <w:b/>
          <w:szCs w:val="22"/>
        </w:rPr>
        <w:t xml:space="preserve"> anzupassen.</w:t>
      </w:r>
    </w:p>
    <w:p w:rsidR="009A3CC4" w:rsidRPr="00762261" w:rsidRDefault="009A3CC4" w:rsidP="009A3CC4">
      <w:pPr>
        <w:spacing w:line="280" w:lineRule="exact"/>
        <w:jc w:val="both"/>
        <w:rPr>
          <w:b/>
          <w:szCs w:val="22"/>
        </w:rPr>
      </w:pPr>
    </w:p>
    <w:p w:rsidR="009A3CC4" w:rsidRDefault="009A3CC4" w:rsidP="009A3CC4">
      <w:pPr>
        <w:spacing w:line="280" w:lineRule="exact"/>
        <w:jc w:val="both"/>
        <w:rPr>
          <w:szCs w:val="22"/>
        </w:rPr>
      </w:pPr>
      <w:r w:rsidRPr="00762261">
        <w:rPr>
          <w:szCs w:val="22"/>
        </w:rPr>
        <w:t xml:space="preserve">Die Verordnung </w:t>
      </w:r>
      <w:r w:rsidR="00311862" w:rsidRPr="00311862">
        <w:rPr>
          <w:szCs w:val="22"/>
        </w:rPr>
        <w:t xml:space="preserve">(EU-DSGVO, EU Verordnung Nr. 2016/679) </w:t>
      </w:r>
      <w:r w:rsidRPr="00762261">
        <w:rPr>
          <w:szCs w:val="22"/>
        </w:rPr>
        <w:t>schafft europaweit einheitliche Anforderungen für die Erhebung, Verarbeitung, Nutzung und Speicherung von personenbezogenen Daten. Dazu wurden neue Grundsätze verankert</w:t>
      </w:r>
      <w:r w:rsidR="003C756C">
        <w:rPr>
          <w:szCs w:val="22"/>
        </w:rPr>
        <w:t xml:space="preserve">, wie </w:t>
      </w:r>
      <w:r w:rsidR="00311862">
        <w:rPr>
          <w:szCs w:val="22"/>
        </w:rPr>
        <w:t xml:space="preserve">das </w:t>
      </w:r>
      <w:r>
        <w:rPr>
          <w:szCs w:val="22"/>
        </w:rPr>
        <w:t>„</w:t>
      </w:r>
      <w:r w:rsidRPr="00762261">
        <w:rPr>
          <w:szCs w:val="22"/>
        </w:rPr>
        <w:t>Marktortprinzip</w:t>
      </w:r>
      <w:r>
        <w:rPr>
          <w:szCs w:val="22"/>
        </w:rPr>
        <w:t>“</w:t>
      </w:r>
      <w:r w:rsidR="00311862">
        <w:rPr>
          <w:szCs w:val="22"/>
        </w:rPr>
        <w:t xml:space="preserve">. Dies führt dazu, dass beispielsweise </w:t>
      </w:r>
      <w:r>
        <w:rPr>
          <w:szCs w:val="22"/>
        </w:rPr>
        <w:t>auch US-a</w:t>
      </w:r>
      <w:r w:rsidRPr="00762261">
        <w:rPr>
          <w:szCs w:val="22"/>
        </w:rPr>
        <w:t xml:space="preserve">merikanische Unternehmen den neuen </w:t>
      </w:r>
      <w:r w:rsidR="00311862">
        <w:rPr>
          <w:szCs w:val="22"/>
        </w:rPr>
        <w:t>R</w:t>
      </w:r>
      <w:r w:rsidRPr="00762261">
        <w:rPr>
          <w:szCs w:val="22"/>
        </w:rPr>
        <w:t>egeln unterliegen. Außerdem wird zukünftig die Datenschutzbehörde am Sitz der Unternehmenszentrale federführend für alle Niederlassungen in der EU sein.</w:t>
      </w:r>
      <w:r w:rsidR="003C756C">
        <w:rPr>
          <w:szCs w:val="22"/>
        </w:rPr>
        <w:t xml:space="preserve"> </w:t>
      </w:r>
    </w:p>
    <w:p w:rsidR="009A3CC4" w:rsidRPr="00762261" w:rsidRDefault="009A3CC4" w:rsidP="009A3CC4">
      <w:pPr>
        <w:spacing w:line="280" w:lineRule="exact"/>
        <w:jc w:val="both"/>
        <w:rPr>
          <w:szCs w:val="22"/>
        </w:rPr>
      </w:pPr>
    </w:p>
    <w:p w:rsidR="009A3CC4" w:rsidRDefault="009A3CC4" w:rsidP="009A3CC4">
      <w:pPr>
        <w:spacing w:line="280" w:lineRule="exact"/>
        <w:jc w:val="both"/>
        <w:rPr>
          <w:szCs w:val="22"/>
        </w:rPr>
      </w:pPr>
      <w:r w:rsidRPr="00762261">
        <w:rPr>
          <w:szCs w:val="22"/>
        </w:rPr>
        <w:t>Darüber hinaus gibt es zahlreiche neue Anforderungen an den Datenschutz. Beispielsweise wird der Datenschutz durch datenschutzfreundliche Voreinstellungen gestärkt. Auch für die Auftragsdatenverarbeitung gelten strengere Vorgaben</w:t>
      </w:r>
      <w:r>
        <w:rPr>
          <w:szCs w:val="22"/>
        </w:rPr>
        <w:t xml:space="preserve">. Dass </w:t>
      </w:r>
      <w:r w:rsidR="003C756C">
        <w:rPr>
          <w:szCs w:val="22"/>
        </w:rPr>
        <w:t>ein</w:t>
      </w:r>
      <w:r>
        <w:rPr>
          <w:szCs w:val="22"/>
        </w:rPr>
        <w:t xml:space="preserve"> A</w:t>
      </w:r>
      <w:r w:rsidRPr="00762261">
        <w:rPr>
          <w:szCs w:val="22"/>
        </w:rPr>
        <w:t>uftragnehmer</w:t>
      </w:r>
      <w:r>
        <w:rPr>
          <w:szCs w:val="22"/>
        </w:rPr>
        <w:t xml:space="preserve"> die Vorschriften einhält, </w:t>
      </w:r>
      <w:r w:rsidRPr="00762261">
        <w:rPr>
          <w:szCs w:val="22"/>
        </w:rPr>
        <w:t xml:space="preserve">muss </w:t>
      </w:r>
      <w:r>
        <w:rPr>
          <w:szCs w:val="22"/>
        </w:rPr>
        <w:t xml:space="preserve">künftig </w:t>
      </w:r>
      <w:r w:rsidRPr="00762261">
        <w:rPr>
          <w:szCs w:val="22"/>
        </w:rPr>
        <w:t>über einen Code-</w:t>
      </w:r>
      <w:proofErr w:type="spellStart"/>
      <w:r w:rsidRPr="00762261">
        <w:rPr>
          <w:szCs w:val="22"/>
        </w:rPr>
        <w:t>of</w:t>
      </w:r>
      <w:proofErr w:type="spellEnd"/>
      <w:r w:rsidRPr="00762261">
        <w:rPr>
          <w:szCs w:val="22"/>
        </w:rPr>
        <w:t>-</w:t>
      </w:r>
      <w:proofErr w:type="spellStart"/>
      <w:r w:rsidRPr="00762261">
        <w:rPr>
          <w:szCs w:val="22"/>
        </w:rPr>
        <w:t>Conduct</w:t>
      </w:r>
      <w:proofErr w:type="spellEnd"/>
      <w:r w:rsidRPr="00762261">
        <w:rPr>
          <w:szCs w:val="22"/>
        </w:rPr>
        <w:t xml:space="preserve"> oder eine Zertifizierung nachgewiesen werden.</w:t>
      </w:r>
      <w:r>
        <w:rPr>
          <w:szCs w:val="22"/>
        </w:rPr>
        <w:t xml:space="preserve"> Die neue Verordnung enthält auch höhere</w:t>
      </w:r>
      <w:r w:rsidRPr="00762261">
        <w:rPr>
          <w:szCs w:val="22"/>
        </w:rPr>
        <w:t xml:space="preserve"> Bußgelder</w:t>
      </w:r>
      <w:r>
        <w:rPr>
          <w:szCs w:val="22"/>
        </w:rPr>
        <w:t>,</w:t>
      </w:r>
      <w:r w:rsidRPr="00762261">
        <w:rPr>
          <w:szCs w:val="22"/>
        </w:rPr>
        <w:t xml:space="preserve"> die Spanne reicht zukünftig </w:t>
      </w:r>
      <w:r>
        <w:rPr>
          <w:szCs w:val="22"/>
        </w:rPr>
        <w:t>bis</w:t>
      </w:r>
      <w:r w:rsidRPr="00762261">
        <w:rPr>
          <w:szCs w:val="22"/>
        </w:rPr>
        <w:t xml:space="preserve"> 20 Mio. Euro</w:t>
      </w:r>
      <w:r>
        <w:rPr>
          <w:szCs w:val="22"/>
        </w:rPr>
        <w:t>.</w:t>
      </w:r>
    </w:p>
    <w:p w:rsidR="003E7792" w:rsidRDefault="003E7792" w:rsidP="009A3CC4">
      <w:pPr>
        <w:spacing w:line="280" w:lineRule="exact"/>
        <w:jc w:val="both"/>
        <w:rPr>
          <w:szCs w:val="22"/>
        </w:rPr>
      </w:pPr>
    </w:p>
    <w:p w:rsidR="009A3CC4" w:rsidRDefault="009A3CC4" w:rsidP="009A3CC4">
      <w:pPr>
        <w:spacing w:line="280" w:lineRule="exact"/>
        <w:jc w:val="both"/>
        <w:rPr>
          <w:szCs w:val="22"/>
        </w:rPr>
      </w:pPr>
      <w:r>
        <w:rPr>
          <w:szCs w:val="22"/>
        </w:rPr>
        <w:t xml:space="preserve">Die Datenschutzexperten </w:t>
      </w:r>
      <w:r w:rsidR="009E28D3">
        <w:rPr>
          <w:szCs w:val="22"/>
        </w:rPr>
        <w:t>von</w:t>
      </w:r>
      <w:r>
        <w:rPr>
          <w:szCs w:val="22"/>
        </w:rPr>
        <w:t xml:space="preserve"> DEKRA empfehlen daher, jetzt schon </w:t>
      </w:r>
      <w:r w:rsidR="009E28D3">
        <w:rPr>
          <w:szCs w:val="22"/>
        </w:rPr>
        <w:t xml:space="preserve">zu </w:t>
      </w:r>
      <w:r>
        <w:rPr>
          <w:szCs w:val="22"/>
        </w:rPr>
        <w:t xml:space="preserve">prüfen, ob die Datenverarbeitungsprozesse des Unternehmens den neuen Anforderungen genügen. Dies sollte so rechtzeitig erfolgen, </w:t>
      </w:r>
      <w:r w:rsidR="003C756C">
        <w:rPr>
          <w:szCs w:val="22"/>
        </w:rPr>
        <w:t xml:space="preserve">damit </w:t>
      </w:r>
      <w:r>
        <w:rPr>
          <w:szCs w:val="22"/>
        </w:rPr>
        <w:t xml:space="preserve">notwendige Änderungen noch vor Inkrafttreten der Verordnung umgesetzt werden können. </w:t>
      </w:r>
    </w:p>
    <w:p w:rsidR="009A3CC4" w:rsidRDefault="009A3CC4" w:rsidP="009A3CC4">
      <w:pPr>
        <w:spacing w:line="280" w:lineRule="exact"/>
        <w:jc w:val="both"/>
        <w:rPr>
          <w:szCs w:val="22"/>
        </w:rPr>
      </w:pPr>
    </w:p>
    <w:p w:rsidR="009A3CC4" w:rsidRDefault="009A3CC4" w:rsidP="009A3CC4">
      <w:pPr>
        <w:spacing w:line="280" w:lineRule="exact"/>
        <w:jc w:val="both"/>
        <w:rPr>
          <w:szCs w:val="22"/>
        </w:rPr>
      </w:pPr>
      <w:r>
        <w:rPr>
          <w:szCs w:val="22"/>
        </w:rPr>
        <w:t>Weitere Informationen:</w:t>
      </w:r>
    </w:p>
    <w:p w:rsidR="009A3CC4" w:rsidRDefault="005A5986" w:rsidP="009A3CC4">
      <w:pPr>
        <w:spacing w:line="280" w:lineRule="exact"/>
        <w:jc w:val="both"/>
        <w:rPr>
          <w:szCs w:val="22"/>
        </w:rPr>
      </w:pPr>
      <w:hyperlink r:id="rId11" w:history="1">
        <w:r w:rsidR="009A3CC4" w:rsidRPr="00D069EA">
          <w:rPr>
            <w:rStyle w:val="Hyperlink"/>
            <w:szCs w:val="22"/>
          </w:rPr>
          <w:t>www.dekra-assurance-services.de/EU-DSGVO-Check</w:t>
        </w:r>
      </w:hyperlink>
    </w:p>
    <w:p w:rsidR="009A3CC4" w:rsidRDefault="009A3CC4" w:rsidP="009A3CC4">
      <w:pPr>
        <w:spacing w:line="280" w:lineRule="exact"/>
        <w:jc w:val="both"/>
        <w:rPr>
          <w:szCs w:val="22"/>
        </w:rPr>
      </w:pPr>
    </w:p>
    <w:p w:rsidR="009A3CC4" w:rsidRDefault="009A3CC4" w:rsidP="009A3CC4">
      <w:pPr>
        <w:spacing w:line="280" w:lineRule="exact"/>
        <w:jc w:val="both"/>
        <w:rPr>
          <w:szCs w:val="22"/>
        </w:rPr>
      </w:pPr>
    </w:p>
    <w:sectPr w:rsidR="009A3CC4" w:rsidSect="004B7226">
      <w:footerReference w:type="first" r:id="rId12"/>
      <w:endnotePr>
        <w:numFmt w:val="decimal"/>
      </w:endnotePr>
      <w:type w:val="continuous"/>
      <w:pgSz w:w="11907" w:h="16840" w:code="9"/>
      <w:pgMar w:top="2268" w:right="2551" w:bottom="1418" w:left="1474" w:header="1276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54" w:rsidRDefault="00A27354">
      <w:r>
        <w:separator/>
      </w:r>
    </w:p>
  </w:endnote>
  <w:endnote w:type="continuationSeparator" w:id="0">
    <w:p w:rsidR="00A27354" w:rsidRDefault="00A2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KRA-Futura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AE4A8B">
    <w:pPr>
      <w:framePr w:w="4145" w:h="442" w:hRule="exact" w:wrap="around" w:vAnchor="page" w:hAnchor="page" w:x="1441" w:y="16138"/>
      <w:spacing w:line="210" w:lineRule="exact"/>
      <w:rPr>
        <w:sz w:val="16"/>
      </w:rPr>
    </w:pPr>
    <w:r>
      <w:rPr>
        <w:sz w:val="16"/>
      </w:rPr>
      <w:fldChar w:fldCharType="begin"/>
    </w:r>
    <w:r w:rsidR="00DB5AF5">
      <w:rPr>
        <w:sz w:val="16"/>
      </w:rPr>
      <w:instrText xml:space="preserve">PAGE  \* MERGEFORMAT </w:instrText>
    </w:r>
    <w:r>
      <w:rPr>
        <w:sz w:val="16"/>
      </w:rPr>
      <w:fldChar w:fldCharType="separate"/>
    </w:r>
    <w:r w:rsidR="009A3CC4">
      <w:rPr>
        <w:noProof/>
        <w:sz w:val="16"/>
      </w:rPr>
      <w:t>2</w:t>
    </w:r>
    <w:r>
      <w:rPr>
        <w:sz w:val="16"/>
      </w:rPr>
      <w:fldChar w:fldCharType="end"/>
    </w:r>
  </w:p>
  <w:p w:rsidR="00DB5AF5" w:rsidRDefault="00DB5A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Datum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Kontakt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Telefon direkt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Telefax direkt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E-Mail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DB5AF5" w:rsidRDefault="00DB5AF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DB5AF5" w:rsidRDefault="00AE4A8B">
    <w:pPr>
      <w:spacing w:line="240" w:lineRule="exact"/>
      <w:rPr>
        <w:rFonts w:cs="Arial"/>
        <w:sz w:val="16"/>
      </w:rPr>
    </w:pPr>
    <w:r>
      <w:rPr>
        <w:rStyle w:val="Seitenzahl"/>
        <w:rFonts w:cs="Arial"/>
        <w:sz w:val="16"/>
      </w:rPr>
      <w:fldChar w:fldCharType="begin"/>
    </w:r>
    <w:r w:rsidR="00DB5AF5">
      <w:rPr>
        <w:rStyle w:val="Seitenzahl"/>
        <w:rFonts w:cs="Arial"/>
        <w:sz w:val="16"/>
      </w:rPr>
      <w:instrText xml:space="preserve"> PAGE </w:instrText>
    </w:r>
    <w:r>
      <w:rPr>
        <w:rStyle w:val="Seitenzahl"/>
        <w:rFonts w:cs="Arial"/>
        <w:sz w:val="16"/>
      </w:rPr>
      <w:fldChar w:fldCharType="separate"/>
    </w:r>
    <w:r w:rsidR="001C062A">
      <w:rPr>
        <w:rStyle w:val="Seitenzahl"/>
        <w:rFonts w:cs="Arial"/>
        <w:noProof/>
        <w:sz w:val="16"/>
      </w:rPr>
      <w:t>1</w:t>
    </w:r>
    <w:r>
      <w:rPr>
        <w:rStyle w:val="Seitenzahl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54" w:rsidRDefault="00A27354">
      <w:r>
        <w:separator/>
      </w:r>
    </w:p>
  </w:footnote>
  <w:footnote w:type="continuationSeparator" w:id="0">
    <w:p w:rsidR="00A27354" w:rsidRDefault="00A2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  <w:r>
      <w:rPr>
        <w:sz w:val="16"/>
      </w:rPr>
      <w:t>Seite</w:t>
    </w:r>
  </w:p>
  <w:p w:rsidR="00DB5AF5" w:rsidRDefault="005A5986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.45pt;margin-top:2.4pt;width:108pt;height:29.95pt;z-index:251658240" fillcolor="window">
          <v:imagedata r:id="rId1" o:title=""/>
        </v:shape>
        <o:OLEObject Type="Embed" ProgID="Word.Picture.8" ShapeID="_x0000_s2051" DrawAspect="Content" ObjectID="_1557035974" r:id="rId2"/>
      </w:object>
    </w:r>
  </w:p>
  <w:p w:rsidR="00DB5AF5" w:rsidRDefault="00DB5AF5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DB5AF5" w:rsidRDefault="00DB5A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5A5986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45pt;margin-top:2.4pt;width:108pt;height:29.95pt;z-index:251657216" fillcolor="window">
          <v:imagedata r:id="rId1" o:title=""/>
        </v:shape>
        <o:OLEObject Type="Embed" ProgID="Word.Picture.8" ShapeID="_x0000_s2049" DrawAspect="Content" ObjectID="_1557035975" r:id="rId2"/>
      </w:object>
    </w:r>
  </w:p>
  <w:p w:rsidR="00DB5AF5" w:rsidRDefault="00DB5AF5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DB5AF5" w:rsidRDefault="00DB5A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2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5749C0"/>
    <w:multiLevelType w:val="hybridMultilevel"/>
    <w:tmpl w:val="0B52C338"/>
    <w:lvl w:ilvl="0" w:tplc="6CE2B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49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225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AB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69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A8A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B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4C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84A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5B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731A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FD25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5E227D"/>
    <w:multiLevelType w:val="hybridMultilevel"/>
    <w:tmpl w:val="AC605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4AA"/>
    <w:multiLevelType w:val="hybridMultilevel"/>
    <w:tmpl w:val="AB429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31D0B"/>
    <w:multiLevelType w:val="hybridMultilevel"/>
    <w:tmpl w:val="C28C14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4336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784E52"/>
    <w:multiLevelType w:val="multilevel"/>
    <w:tmpl w:val="7F08D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20"/>
    <w:rsid w:val="000136BD"/>
    <w:rsid w:val="0002148F"/>
    <w:rsid w:val="000222AC"/>
    <w:rsid w:val="0004499C"/>
    <w:rsid w:val="00047F79"/>
    <w:rsid w:val="00050C0F"/>
    <w:rsid w:val="00051AD3"/>
    <w:rsid w:val="00052BAA"/>
    <w:rsid w:val="00060F85"/>
    <w:rsid w:val="00070307"/>
    <w:rsid w:val="00070C47"/>
    <w:rsid w:val="00074267"/>
    <w:rsid w:val="00075578"/>
    <w:rsid w:val="000939D0"/>
    <w:rsid w:val="00096262"/>
    <w:rsid w:val="000A26B7"/>
    <w:rsid w:val="000A50FE"/>
    <w:rsid w:val="000A6E52"/>
    <w:rsid w:val="000C08E3"/>
    <w:rsid w:val="000C454D"/>
    <w:rsid w:val="000D17CD"/>
    <w:rsid w:val="000D2A4E"/>
    <w:rsid w:val="000D3A77"/>
    <w:rsid w:val="000E357E"/>
    <w:rsid w:val="000E5F8A"/>
    <w:rsid w:val="000F2132"/>
    <w:rsid w:val="000F7842"/>
    <w:rsid w:val="000F7913"/>
    <w:rsid w:val="00100B7F"/>
    <w:rsid w:val="0010619C"/>
    <w:rsid w:val="00111BBC"/>
    <w:rsid w:val="00112CE0"/>
    <w:rsid w:val="001137F5"/>
    <w:rsid w:val="001172FA"/>
    <w:rsid w:val="001251A4"/>
    <w:rsid w:val="00131442"/>
    <w:rsid w:val="001319B1"/>
    <w:rsid w:val="001415D5"/>
    <w:rsid w:val="001435E8"/>
    <w:rsid w:val="00160068"/>
    <w:rsid w:val="0016519D"/>
    <w:rsid w:val="00165C1B"/>
    <w:rsid w:val="001802B8"/>
    <w:rsid w:val="001827CD"/>
    <w:rsid w:val="00194EB3"/>
    <w:rsid w:val="0019719E"/>
    <w:rsid w:val="001B03CC"/>
    <w:rsid w:val="001C062A"/>
    <w:rsid w:val="001C0817"/>
    <w:rsid w:val="001C5103"/>
    <w:rsid w:val="001C78A4"/>
    <w:rsid w:val="001E1BB5"/>
    <w:rsid w:val="001E28A5"/>
    <w:rsid w:val="001E732E"/>
    <w:rsid w:val="001F1D54"/>
    <w:rsid w:val="001F4220"/>
    <w:rsid w:val="00204AEB"/>
    <w:rsid w:val="00207B59"/>
    <w:rsid w:val="00211AC6"/>
    <w:rsid w:val="002177B5"/>
    <w:rsid w:val="0022181A"/>
    <w:rsid w:val="00223C70"/>
    <w:rsid w:val="00225D00"/>
    <w:rsid w:val="00232933"/>
    <w:rsid w:val="00234505"/>
    <w:rsid w:val="0024227D"/>
    <w:rsid w:val="002618CD"/>
    <w:rsid w:val="002666FE"/>
    <w:rsid w:val="00276434"/>
    <w:rsid w:val="002774D2"/>
    <w:rsid w:val="00281D6A"/>
    <w:rsid w:val="00282E9B"/>
    <w:rsid w:val="002977DE"/>
    <w:rsid w:val="002A26AE"/>
    <w:rsid w:val="002A4633"/>
    <w:rsid w:val="002A5FBC"/>
    <w:rsid w:val="002A65E9"/>
    <w:rsid w:val="002B34C7"/>
    <w:rsid w:val="002B555F"/>
    <w:rsid w:val="002B7F53"/>
    <w:rsid w:val="002C1A27"/>
    <w:rsid w:val="002C1F19"/>
    <w:rsid w:val="002C398E"/>
    <w:rsid w:val="002C3CAB"/>
    <w:rsid w:val="002C53CD"/>
    <w:rsid w:val="002C6AE8"/>
    <w:rsid w:val="002D6BFE"/>
    <w:rsid w:val="002F215C"/>
    <w:rsid w:val="003005BA"/>
    <w:rsid w:val="00300F9C"/>
    <w:rsid w:val="00311862"/>
    <w:rsid w:val="00314718"/>
    <w:rsid w:val="00315660"/>
    <w:rsid w:val="003168A9"/>
    <w:rsid w:val="00322C97"/>
    <w:rsid w:val="00326AA4"/>
    <w:rsid w:val="00327E45"/>
    <w:rsid w:val="0033164B"/>
    <w:rsid w:val="00334312"/>
    <w:rsid w:val="00334465"/>
    <w:rsid w:val="0034330B"/>
    <w:rsid w:val="00345596"/>
    <w:rsid w:val="00345665"/>
    <w:rsid w:val="0034774B"/>
    <w:rsid w:val="003527E6"/>
    <w:rsid w:val="003559D0"/>
    <w:rsid w:val="003624E1"/>
    <w:rsid w:val="0037451E"/>
    <w:rsid w:val="00374FBF"/>
    <w:rsid w:val="003759AD"/>
    <w:rsid w:val="00376FFE"/>
    <w:rsid w:val="00381242"/>
    <w:rsid w:val="003852CB"/>
    <w:rsid w:val="00385D3D"/>
    <w:rsid w:val="003948EA"/>
    <w:rsid w:val="003975E8"/>
    <w:rsid w:val="003A1E79"/>
    <w:rsid w:val="003B1B1C"/>
    <w:rsid w:val="003C756C"/>
    <w:rsid w:val="003D0178"/>
    <w:rsid w:val="003D0232"/>
    <w:rsid w:val="003D07C0"/>
    <w:rsid w:val="003D630C"/>
    <w:rsid w:val="003E40F5"/>
    <w:rsid w:val="003E7792"/>
    <w:rsid w:val="003F0284"/>
    <w:rsid w:val="004007E9"/>
    <w:rsid w:val="00406A04"/>
    <w:rsid w:val="00411A21"/>
    <w:rsid w:val="00413DB8"/>
    <w:rsid w:val="004149A9"/>
    <w:rsid w:val="00425387"/>
    <w:rsid w:val="00433C20"/>
    <w:rsid w:val="00436A22"/>
    <w:rsid w:val="00442BF9"/>
    <w:rsid w:val="00445AF4"/>
    <w:rsid w:val="00462271"/>
    <w:rsid w:val="00470DA7"/>
    <w:rsid w:val="00472E38"/>
    <w:rsid w:val="00483025"/>
    <w:rsid w:val="00483AD3"/>
    <w:rsid w:val="00491308"/>
    <w:rsid w:val="00494792"/>
    <w:rsid w:val="00496C1B"/>
    <w:rsid w:val="004A558D"/>
    <w:rsid w:val="004A57B1"/>
    <w:rsid w:val="004A58FB"/>
    <w:rsid w:val="004A6482"/>
    <w:rsid w:val="004B4DB4"/>
    <w:rsid w:val="004B545D"/>
    <w:rsid w:val="004B7226"/>
    <w:rsid w:val="004C5F8A"/>
    <w:rsid w:val="004D29FB"/>
    <w:rsid w:val="004D3A33"/>
    <w:rsid w:val="004E5868"/>
    <w:rsid w:val="004F12F1"/>
    <w:rsid w:val="004F7C57"/>
    <w:rsid w:val="005013EB"/>
    <w:rsid w:val="00502E29"/>
    <w:rsid w:val="0050369F"/>
    <w:rsid w:val="00511C40"/>
    <w:rsid w:val="00512504"/>
    <w:rsid w:val="00522B04"/>
    <w:rsid w:val="00525654"/>
    <w:rsid w:val="00526921"/>
    <w:rsid w:val="00527E0A"/>
    <w:rsid w:val="00533FAE"/>
    <w:rsid w:val="005351E1"/>
    <w:rsid w:val="00536A1B"/>
    <w:rsid w:val="00540867"/>
    <w:rsid w:val="00543113"/>
    <w:rsid w:val="005452BE"/>
    <w:rsid w:val="005575CE"/>
    <w:rsid w:val="00563957"/>
    <w:rsid w:val="00567472"/>
    <w:rsid w:val="00580147"/>
    <w:rsid w:val="005A5986"/>
    <w:rsid w:val="005B1763"/>
    <w:rsid w:val="005C3308"/>
    <w:rsid w:val="005C5F63"/>
    <w:rsid w:val="005D147D"/>
    <w:rsid w:val="005D7653"/>
    <w:rsid w:val="005D7810"/>
    <w:rsid w:val="005E2E98"/>
    <w:rsid w:val="005E3A50"/>
    <w:rsid w:val="005F4576"/>
    <w:rsid w:val="00605CC0"/>
    <w:rsid w:val="00606A3E"/>
    <w:rsid w:val="006144D9"/>
    <w:rsid w:val="00617684"/>
    <w:rsid w:val="00642379"/>
    <w:rsid w:val="006439B0"/>
    <w:rsid w:val="00644A6B"/>
    <w:rsid w:val="00652944"/>
    <w:rsid w:val="00653130"/>
    <w:rsid w:val="00656377"/>
    <w:rsid w:val="00656FEB"/>
    <w:rsid w:val="00672990"/>
    <w:rsid w:val="00683C20"/>
    <w:rsid w:val="00687274"/>
    <w:rsid w:val="00693407"/>
    <w:rsid w:val="006963C4"/>
    <w:rsid w:val="006A0C26"/>
    <w:rsid w:val="006A0FB7"/>
    <w:rsid w:val="006B3E55"/>
    <w:rsid w:val="006B4A40"/>
    <w:rsid w:val="006B69E3"/>
    <w:rsid w:val="006C6F4B"/>
    <w:rsid w:val="006D007E"/>
    <w:rsid w:val="006D4655"/>
    <w:rsid w:val="006E0C7A"/>
    <w:rsid w:val="006E1623"/>
    <w:rsid w:val="006E37C5"/>
    <w:rsid w:val="006E3CB3"/>
    <w:rsid w:val="006E654D"/>
    <w:rsid w:val="006F440E"/>
    <w:rsid w:val="00706EA4"/>
    <w:rsid w:val="00710009"/>
    <w:rsid w:val="00710A4F"/>
    <w:rsid w:val="00710EAE"/>
    <w:rsid w:val="00712FA7"/>
    <w:rsid w:val="00715F98"/>
    <w:rsid w:val="007168E5"/>
    <w:rsid w:val="00716B69"/>
    <w:rsid w:val="00726058"/>
    <w:rsid w:val="0073208A"/>
    <w:rsid w:val="007370BF"/>
    <w:rsid w:val="00741BF8"/>
    <w:rsid w:val="00743690"/>
    <w:rsid w:val="007519F6"/>
    <w:rsid w:val="0075270D"/>
    <w:rsid w:val="0075392C"/>
    <w:rsid w:val="00753B81"/>
    <w:rsid w:val="00755154"/>
    <w:rsid w:val="007618BC"/>
    <w:rsid w:val="00764C31"/>
    <w:rsid w:val="00764D31"/>
    <w:rsid w:val="0076675A"/>
    <w:rsid w:val="00766A7A"/>
    <w:rsid w:val="00780BAB"/>
    <w:rsid w:val="00782B36"/>
    <w:rsid w:val="00797D7A"/>
    <w:rsid w:val="007A3A9D"/>
    <w:rsid w:val="007B0BDC"/>
    <w:rsid w:val="007B4757"/>
    <w:rsid w:val="007D0A0A"/>
    <w:rsid w:val="007D13AE"/>
    <w:rsid w:val="007D4425"/>
    <w:rsid w:val="007D491F"/>
    <w:rsid w:val="007E4C1D"/>
    <w:rsid w:val="007E5CEC"/>
    <w:rsid w:val="007E6700"/>
    <w:rsid w:val="007F6265"/>
    <w:rsid w:val="00805BEE"/>
    <w:rsid w:val="008260B0"/>
    <w:rsid w:val="00833AB2"/>
    <w:rsid w:val="00840BEC"/>
    <w:rsid w:val="0085109B"/>
    <w:rsid w:val="008531D3"/>
    <w:rsid w:val="008747FD"/>
    <w:rsid w:val="008752CB"/>
    <w:rsid w:val="0088075C"/>
    <w:rsid w:val="00882734"/>
    <w:rsid w:val="008A2F83"/>
    <w:rsid w:val="008A7443"/>
    <w:rsid w:val="008B7559"/>
    <w:rsid w:val="008C6C1B"/>
    <w:rsid w:val="008C78FD"/>
    <w:rsid w:val="008C7E91"/>
    <w:rsid w:val="008D58DD"/>
    <w:rsid w:val="008D77B2"/>
    <w:rsid w:val="008E5F15"/>
    <w:rsid w:val="008E624B"/>
    <w:rsid w:val="009061DA"/>
    <w:rsid w:val="00912B58"/>
    <w:rsid w:val="00914682"/>
    <w:rsid w:val="0091511F"/>
    <w:rsid w:val="00915F6A"/>
    <w:rsid w:val="00916FFE"/>
    <w:rsid w:val="00920394"/>
    <w:rsid w:val="00925AA4"/>
    <w:rsid w:val="009260AB"/>
    <w:rsid w:val="009308AF"/>
    <w:rsid w:val="009313FC"/>
    <w:rsid w:val="00932829"/>
    <w:rsid w:val="009363EC"/>
    <w:rsid w:val="009461A9"/>
    <w:rsid w:val="00951BA3"/>
    <w:rsid w:val="00953ABC"/>
    <w:rsid w:val="00956549"/>
    <w:rsid w:val="00961681"/>
    <w:rsid w:val="00962E45"/>
    <w:rsid w:val="00964C59"/>
    <w:rsid w:val="00966B35"/>
    <w:rsid w:val="009705F3"/>
    <w:rsid w:val="009712FF"/>
    <w:rsid w:val="00971B06"/>
    <w:rsid w:val="009730BD"/>
    <w:rsid w:val="00973412"/>
    <w:rsid w:val="00977140"/>
    <w:rsid w:val="00981389"/>
    <w:rsid w:val="00982748"/>
    <w:rsid w:val="00984723"/>
    <w:rsid w:val="00992DD8"/>
    <w:rsid w:val="00994015"/>
    <w:rsid w:val="00997F1E"/>
    <w:rsid w:val="009A0632"/>
    <w:rsid w:val="009A3CC4"/>
    <w:rsid w:val="009A5202"/>
    <w:rsid w:val="009A602A"/>
    <w:rsid w:val="009A741E"/>
    <w:rsid w:val="009A7577"/>
    <w:rsid w:val="009B15C2"/>
    <w:rsid w:val="009C09DF"/>
    <w:rsid w:val="009D394D"/>
    <w:rsid w:val="009D4584"/>
    <w:rsid w:val="009E28D3"/>
    <w:rsid w:val="009E7045"/>
    <w:rsid w:val="009F48EC"/>
    <w:rsid w:val="00A010F5"/>
    <w:rsid w:val="00A158AE"/>
    <w:rsid w:val="00A20DD0"/>
    <w:rsid w:val="00A22C08"/>
    <w:rsid w:val="00A27354"/>
    <w:rsid w:val="00A36C82"/>
    <w:rsid w:val="00A47C52"/>
    <w:rsid w:val="00A52D47"/>
    <w:rsid w:val="00A54280"/>
    <w:rsid w:val="00A63590"/>
    <w:rsid w:val="00A66E8F"/>
    <w:rsid w:val="00A71DDA"/>
    <w:rsid w:val="00A848FA"/>
    <w:rsid w:val="00A85709"/>
    <w:rsid w:val="00A87DCE"/>
    <w:rsid w:val="00A87EFC"/>
    <w:rsid w:val="00AA2BEF"/>
    <w:rsid w:val="00AA55EB"/>
    <w:rsid w:val="00AB05B7"/>
    <w:rsid w:val="00AB19EA"/>
    <w:rsid w:val="00AB1FCF"/>
    <w:rsid w:val="00AC277F"/>
    <w:rsid w:val="00AC32B4"/>
    <w:rsid w:val="00AC46FF"/>
    <w:rsid w:val="00AD2350"/>
    <w:rsid w:val="00AD277E"/>
    <w:rsid w:val="00AD5838"/>
    <w:rsid w:val="00AD776E"/>
    <w:rsid w:val="00AD7A93"/>
    <w:rsid w:val="00AE0175"/>
    <w:rsid w:val="00AE361E"/>
    <w:rsid w:val="00AE4A8B"/>
    <w:rsid w:val="00B038AE"/>
    <w:rsid w:val="00B0455B"/>
    <w:rsid w:val="00B05FF2"/>
    <w:rsid w:val="00B068B9"/>
    <w:rsid w:val="00B11CD7"/>
    <w:rsid w:val="00B157E1"/>
    <w:rsid w:val="00B177F3"/>
    <w:rsid w:val="00B25EC4"/>
    <w:rsid w:val="00B2702C"/>
    <w:rsid w:val="00B37DA1"/>
    <w:rsid w:val="00B443B7"/>
    <w:rsid w:val="00B5053A"/>
    <w:rsid w:val="00B51791"/>
    <w:rsid w:val="00B56AA6"/>
    <w:rsid w:val="00B67771"/>
    <w:rsid w:val="00B67D7A"/>
    <w:rsid w:val="00B81D67"/>
    <w:rsid w:val="00B8219B"/>
    <w:rsid w:val="00B871B4"/>
    <w:rsid w:val="00B87D86"/>
    <w:rsid w:val="00B90D8E"/>
    <w:rsid w:val="00B95CC2"/>
    <w:rsid w:val="00B9658E"/>
    <w:rsid w:val="00BA01FF"/>
    <w:rsid w:val="00BA1BD7"/>
    <w:rsid w:val="00BA3E96"/>
    <w:rsid w:val="00BC3388"/>
    <w:rsid w:val="00BC3DE3"/>
    <w:rsid w:val="00BE2EF9"/>
    <w:rsid w:val="00BF364B"/>
    <w:rsid w:val="00BF602C"/>
    <w:rsid w:val="00BF7009"/>
    <w:rsid w:val="00C04157"/>
    <w:rsid w:val="00C076BF"/>
    <w:rsid w:val="00C0796E"/>
    <w:rsid w:val="00C17F63"/>
    <w:rsid w:val="00C22E87"/>
    <w:rsid w:val="00C30F6E"/>
    <w:rsid w:val="00C3221A"/>
    <w:rsid w:val="00C42656"/>
    <w:rsid w:val="00C4676C"/>
    <w:rsid w:val="00C46DE9"/>
    <w:rsid w:val="00C5196D"/>
    <w:rsid w:val="00C537C0"/>
    <w:rsid w:val="00C55AB3"/>
    <w:rsid w:val="00C602CC"/>
    <w:rsid w:val="00C60FEB"/>
    <w:rsid w:val="00C63917"/>
    <w:rsid w:val="00C67E41"/>
    <w:rsid w:val="00C7427B"/>
    <w:rsid w:val="00C779E8"/>
    <w:rsid w:val="00C8210E"/>
    <w:rsid w:val="00C863F5"/>
    <w:rsid w:val="00C8784C"/>
    <w:rsid w:val="00C95A0F"/>
    <w:rsid w:val="00C961EC"/>
    <w:rsid w:val="00CA0289"/>
    <w:rsid w:val="00CA0C19"/>
    <w:rsid w:val="00CA26F9"/>
    <w:rsid w:val="00CF199B"/>
    <w:rsid w:val="00CF2DC6"/>
    <w:rsid w:val="00CF7D15"/>
    <w:rsid w:val="00D00FCC"/>
    <w:rsid w:val="00D026ED"/>
    <w:rsid w:val="00D03BA9"/>
    <w:rsid w:val="00D261D9"/>
    <w:rsid w:val="00D26D2B"/>
    <w:rsid w:val="00D307DF"/>
    <w:rsid w:val="00D317F0"/>
    <w:rsid w:val="00D41D77"/>
    <w:rsid w:val="00D451B1"/>
    <w:rsid w:val="00D453FF"/>
    <w:rsid w:val="00D45CC9"/>
    <w:rsid w:val="00D50860"/>
    <w:rsid w:val="00D51448"/>
    <w:rsid w:val="00D52EAF"/>
    <w:rsid w:val="00D62563"/>
    <w:rsid w:val="00D670D0"/>
    <w:rsid w:val="00D77368"/>
    <w:rsid w:val="00D96440"/>
    <w:rsid w:val="00DA556F"/>
    <w:rsid w:val="00DB3AFD"/>
    <w:rsid w:val="00DB5AF5"/>
    <w:rsid w:val="00DC21EA"/>
    <w:rsid w:val="00DD025E"/>
    <w:rsid w:val="00DD1684"/>
    <w:rsid w:val="00DD63AD"/>
    <w:rsid w:val="00DE035F"/>
    <w:rsid w:val="00DE298B"/>
    <w:rsid w:val="00DE44CD"/>
    <w:rsid w:val="00DF3D60"/>
    <w:rsid w:val="00DF482E"/>
    <w:rsid w:val="00DF50D0"/>
    <w:rsid w:val="00E01724"/>
    <w:rsid w:val="00E03555"/>
    <w:rsid w:val="00E07150"/>
    <w:rsid w:val="00E1428F"/>
    <w:rsid w:val="00E1712C"/>
    <w:rsid w:val="00E176EB"/>
    <w:rsid w:val="00E20A55"/>
    <w:rsid w:val="00E3721D"/>
    <w:rsid w:val="00E46C9C"/>
    <w:rsid w:val="00E52879"/>
    <w:rsid w:val="00E52A0A"/>
    <w:rsid w:val="00E633E7"/>
    <w:rsid w:val="00E66750"/>
    <w:rsid w:val="00E768A3"/>
    <w:rsid w:val="00E768A9"/>
    <w:rsid w:val="00E77DA9"/>
    <w:rsid w:val="00E928DA"/>
    <w:rsid w:val="00E944A2"/>
    <w:rsid w:val="00EA01EF"/>
    <w:rsid w:val="00EA0F4F"/>
    <w:rsid w:val="00EA35A8"/>
    <w:rsid w:val="00EA37B8"/>
    <w:rsid w:val="00EB0EA3"/>
    <w:rsid w:val="00EC1EC2"/>
    <w:rsid w:val="00EC3659"/>
    <w:rsid w:val="00EC3781"/>
    <w:rsid w:val="00EC55B3"/>
    <w:rsid w:val="00EC62F6"/>
    <w:rsid w:val="00ED0179"/>
    <w:rsid w:val="00ED0968"/>
    <w:rsid w:val="00ED3F03"/>
    <w:rsid w:val="00ED5211"/>
    <w:rsid w:val="00EE43E0"/>
    <w:rsid w:val="00F01ED8"/>
    <w:rsid w:val="00F03CCF"/>
    <w:rsid w:val="00F04BC5"/>
    <w:rsid w:val="00F059A8"/>
    <w:rsid w:val="00F05AA0"/>
    <w:rsid w:val="00F1734F"/>
    <w:rsid w:val="00F2469E"/>
    <w:rsid w:val="00F37591"/>
    <w:rsid w:val="00F40913"/>
    <w:rsid w:val="00F40FC9"/>
    <w:rsid w:val="00F4168C"/>
    <w:rsid w:val="00F46AF9"/>
    <w:rsid w:val="00F47A6E"/>
    <w:rsid w:val="00F52C80"/>
    <w:rsid w:val="00F601E6"/>
    <w:rsid w:val="00F62666"/>
    <w:rsid w:val="00F628F1"/>
    <w:rsid w:val="00F62C76"/>
    <w:rsid w:val="00F64381"/>
    <w:rsid w:val="00F655DC"/>
    <w:rsid w:val="00F66511"/>
    <w:rsid w:val="00F8016F"/>
    <w:rsid w:val="00F8212C"/>
    <w:rsid w:val="00F86C76"/>
    <w:rsid w:val="00F91A6F"/>
    <w:rsid w:val="00F93A9D"/>
    <w:rsid w:val="00FA079C"/>
    <w:rsid w:val="00FA0CAA"/>
    <w:rsid w:val="00FA323F"/>
    <w:rsid w:val="00FA3B60"/>
    <w:rsid w:val="00FA49FB"/>
    <w:rsid w:val="00FA5367"/>
    <w:rsid w:val="00FA704D"/>
    <w:rsid w:val="00FB685E"/>
    <w:rsid w:val="00FC301E"/>
    <w:rsid w:val="00FC3826"/>
    <w:rsid w:val="00FC7B0B"/>
    <w:rsid w:val="00FC7B4A"/>
    <w:rsid w:val="00FD53D5"/>
    <w:rsid w:val="00FD6D52"/>
    <w:rsid w:val="00FE5D07"/>
    <w:rsid w:val="00FE63D9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25300721-988D-4E6D-B7E8-5E92492E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722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4B7226"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4B7226"/>
    <w:pPr>
      <w:keepNext/>
      <w:spacing w:before="120"/>
      <w:outlineLvl w:val="1"/>
    </w:pPr>
    <w:rPr>
      <w:b/>
      <w:bCs/>
      <w:szCs w:val="22"/>
    </w:rPr>
  </w:style>
  <w:style w:type="paragraph" w:styleId="berschrift5">
    <w:name w:val="heading 5"/>
    <w:basedOn w:val="Standard"/>
    <w:next w:val="Standard"/>
    <w:qFormat/>
    <w:rsid w:val="004B7226"/>
    <w:pPr>
      <w:keepNext/>
      <w:outlineLvl w:val="4"/>
    </w:pPr>
    <w:rPr>
      <w:b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B72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B7226"/>
    <w:pPr>
      <w:tabs>
        <w:tab w:val="center" w:pos="4536"/>
        <w:tab w:val="right" w:pos="9072"/>
      </w:tabs>
    </w:pPr>
  </w:style>
  <w:style w:type="paragraph" w:customStyle="1" w:styleId="Pressetext">
    <w:name w:val="Pressetext"/>
    <w:basedOn w:val="Standard"/>
    <w:rsid w:val="004B7226"/>
    <w:pPr>
      <w:spacing w:line="280" w:lineRule="atLeast"/>
      <w:ind w:right="18"/>
      <w:jc w:val="both"/>
    </w:pPr>
    <w:rPr>
      <w:rFonts w:ascii="Helvetica" w:hAnsi="Helvetica"/>
    </w:rPr>
  </w:style>
  <w:style w:type="paragraph" w:styleId="Textkrper">
    <w:name w:val="Body Text"/>
    <w:basedOn w:val="Standard"/>
    <w:semiHidden/>
    <w:rsid w:val="004B7226"/>
    <w:pPr>
      <w:spacing w:after="120" w:line="240" w:lineRule="atLeast"/>
      <w:jc w:val="both"/>
    </w:pPr>
    <w:rPr>
      <w:rFonts w:ascii="Helv" w:hAnsi="Helv"/>
      <w:color w:val="000000"/>
      <w:sz w:val="20"/>
    </w:rPr>
  </w:style>
  <w:style w:type="paragraph" w:styleId="Textkrper2">
    <w:name w:val="Body Text 2"/>
    <w:basedOn w:val="Standard"/>
    <w:semiHidden/>
    <w:rsid w:val="004B7226"/>
    <w:pPr>
      <w:tabs>
        <w:tab w:val="left" w:pos="1985"/>
      </w:tabs>
    </w:pPr>
    <w:rPr>
      <w:b/>
      <w:snapToGrid w:val="0"/>
      <w:color w:val="000000"/>
      <w:sz w:val="24"/>
    </w:rPr>
  </w:style>
  <w:style w:type="paragraph" w:styleId="Beschriftung">
    <w:name w:val="caption"/>
    <w:basedOn w:val="Standard"/>
    <w:next w:val="Standard"/>
    <w:qFormat/>
    <w:rsid w:val="004B7226"/>
    <w:pPr>
      <w:framePr w:w="7791" w:h="1540" w:hRule="exact" w:wrap="around" w:vAnchor="page" w:hAnchor="page" w:x="1475" w:y="2737" w:anchorLock="1"/>
      <w:spacing w:line="480" w:lineRule="exact"/>
    </w:pPr>
    <w:rPr>
      <w:u w:val="single"/>
    </w:rPr>
  </w:style>
  <w:style w:type="paragraph" w:styleId="Textkrper3">
    <w:name w:val="Body Text 3"/>
    <w:basedOn w:val="Standard"/>
    <w:semiHidden/>
    <w:rsid w:val="004B7226"/>
    <w:rPr>
      <w:snapToGrid w:val="0"/>
      <w:color w:val="000000"/>
    </w:rPr>
  </w:style>
  <w:style w:type="character" w:styleId="Hyperlink">
    <w:name w:val="Hyperlink"/>
    <w:semiHidden/>
    <w:rsid w:val="004B7226"/>
    <w:rPr>
      <w:color w:val="0000FF"/>
      <w:u w:val="single"/>
    </w:rPr>
  </w:style>
  <w:style w:type="paragraph" w:styleId="Dokumentstruktur">
    <w:name w:val="Document Map"/>
    <w:basedOn w:val="Standard"/>
    <w:semiHidden/>
    <w:rsid w:val="004B7226"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semiHidden/>
    <w:rsid w:val="004B7226"/>
    <w:rPr>
      <w:color w:val="800080"/>
      <w:u w:val="single"/>
    </w:rPr>
  </w:style>
  <w:style w:type="paragraph" w:customStyle="1" w:styleId="Text">
    <w:name w:val="Text"/>
    <w:rsid w:val="004B7226"/>
    <w:pPr>
      <w:spacing w:after="56"/>
    </w:pPr>
    <w:rPr>
      <w:rFonts w:ascii="Arial" w:hAnsi="Arial"/>
      <w:snapToGrid w:val="0"/>
      <w:color w:val="000000"/>
      <w:sz w:val="22"/>
    </w:rPr>
  </w:style>
  <w:style w:type="paragraph" w:styleId="StandardWeb">
    <w:name w:val="Normal (Web)"/>
    <w:basedOn w:val="Standard"/>
    <w:semiHidden/>
    <w:rsid w:val="004B722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ett">
    <w:name w:val="Strong"/>
    <w:qFormat/>
    <w:rsid w:val="004B7226"/>
    <w:rPr>
      <w:b/>
      <w:bCs/>
    </w:rPr>
  </w:style>
  <w:style w:type="character" w:styleId="Seitenzahl">
    <w:name w:val="page number"/>
    <w:basedOn w:val="Absatz-Standardschriftart"/>
    <w:semiHidden/>
    <w:rsid w:val="004B7226"/>
  </w:style>
  <w:style w:type="paragraph" w:styleId="Listenabsatz">
    <w:name w:val="List Paragraph"/>
    <w:basedOn w:val="Standard"/>
    <w:uiPriority w:val="34"/>
    <w:qFormat/>
    <w:rsid w:val="000136B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9A3CC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A3CC4"/>
    <w:rPr>
      <w:rFonts w:ascii="Arial" w:eastAsiaTheme="majorEastAsia" w:hAnsi="Arial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kra-assurance-services.de/EU-DSGVO-Chec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3602\Anwendungsdaten\Microsoft\Vorlagen\Dekra\PRESSEINFO%20EV%20MIT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 EV MIT LOGO.dot</Template>
  <TotalTime>0</TotalTime>
  <Pages>1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vebacom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a3602</dc:creator>
  <cp:lastModifiedBy>Vögele-Ebering Tilman</cp:lastModifiedBy>
  <cp:revision>5</cp:revision>
  <cp:lastPrinted>2017-03-09T15:07:00Z</cp:lastPrinted>
  <dcterms:created xsi:type="dcterms:W3CDTF">2017-05-18T15:16:00Z</dcterms:created>
  <dcterms:modified xsi:type="dcterms:W3CDTF">2017-05-23T07:13:00Z</dcterms:modified>
</cp:coreProperties>
</file>